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hint="eastAsia" w:ascii="仿宋_GB2312" w:hAnsi="楷体" w:eastAsia="仿宋_GB2312"/>
          <w:bCs/>
          <w:sz w:val="32"/>
          <w:szCs w:val="32"/>
        </w:rPr>
      </w:pPr>
      <w:r>
        <w:rPr>
          <w:rFonts w:hint="eastAsia" w:ascii="仿宋_GB2312" w:hAnsi="楷体" w:eastAsia="仿宋_GB2312"/>
          <w:bCs/>
          <w:sz w:val="32"/>
          <w:szCs w:val="32"/>
        </w:rPr>
        <w:t>附件1</w:t>
      </w:r>
      <w:bookmarkStart w:id="0" w:name="_GoBack"/>
      <w:bookmarkEnd w:id="0"/>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广州市中小学教育教学优秀典型案例</w:t>
      </w:r>
    </w:p>
    <w:p>
      <w:pPr>
        <w:spacing w:after="312" w:afterLines="100" w:line="64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基本框架</w:t>
      </w:r>
    </w:p>
    <w:p>
      <w:pPr>
        <w:pStyle w:val="2"/>
        <w:spacing w:before="0" w:after="0" w:line="360" w:lineRule="auto"/>
        <w:rPr>
          <w:rFonts w:ascii="楷体" w:hAnsi="楷体" w:eastAsia="楷体"/>
          <w:sz w:val="30"/>
          <w:szCs w:val="30"/>
        </w:rPr>
      </w:pPr>
      <w:r>
        <w:rPr>
          <w:rFonts w:hint="eastAsia" w:ascii="楷体" w:hAnsi="楷体" w:eastAsia="楷体"/>
          <w:sz w:val="30"/>
          <w:szCs w:val="30"/>
        </w:rPr>
        <w:t>题目：</w:t>
      </w:r>
      <w:r>
        <w:rPr>
          <w:rFonts w:hint="eastAsia" w:ascii="楷体" w:hAnsi="楷体" w:eastAsia="楷体"/>
          <w:sz w:val="32"/>
          <w:szCs w:val="32"/>
        </w:rPr>
        <w:t>广州市**学校（**学科）实施教育（教学）案例方案</w:t>
      </w:r>
    </w:p>
    <w:p>
      <w:pPr>
        <w:pStyle w:val="2"/>
        <w:spacing w:before="0" w:after="0" w:line="360" w:lineRule="auto"/>
        <w:rPr>
          <w:rFonts w:ascii="楷体" w:hAnsi="楷体" w:eastAsia="楷体"/>
          <w:sz w:val="30"/>
          <w:szCs w:val="30"/>
        </w:rPr>
      </w:pPr>
      <w:r>
        <w:rPr>
          <w:rFonts w:hint="eastAsia" w:ascii="楷体" w:hAnsi="楷体" w:eastAsia="楷体"/>
          <w:sz w:val="30"/>
          <w:szCs w:val="30"/>
        </w:rPr>
        <w:t>帽段：</w:t>
      </w:r>
    </w:p>
    <w:p>
      <w:pPr>
        <w:spacing w:line="440" w:lineRule="exact"/>
        <w:rPr>
          <w:rFonts w:ascii="仿宋" w:hAnsi="仿宋" w:eastAsia="仿宋"/>
        </w:rPr>
      </w:pPr>
      <w:r>
        <w:rPr>
          <w:rFonts w:hint="eastAsia" w:ascii="仿宋" w:hAnsi="仿宋" w:eastAsia="仿宋"/>
        </w:rPr>
        <w:t>【说明】</w:t>
      </w:r>
    </w:p>
    <w:p>
      <w:pPr>
        <w:spacing w:line="440" w:lineRule="exact"/>
        <w:ind w:firstLine="420" w:firstLineChars="200"/>
        <w:rPr>
          <w:rFonts w:ascii="仿宋" w:hAnsi="仿宋" w:eastAsia="仿宋"/>
        </w:rPr>
      </w:pPr>
      <w:r>
        <w:rPr>
          <w:rFonts w:hint="eastAsia" w:ascii="仿宋" w:hAnsi="仿宋" w:eastAsia="仿宋"/>
        </w:rPr>
        <w:t>概述学校课程或学科（基地）规划/方案形成教育教学的优秀案例，简要描述案例的依据和特色、功能。建议一段叙写，言简意赅。</w:t>
      </w:r>
    </w:p>
    <w:p>
      <w:pPr>
        <w:spacing w:line="440" w:lineRule="exact"/>
        <w:rPr>
          <w:rFonts w:ascii="仿宋" w:hAnsi="仿宋" w:eastAsia="仿宋"/>
        </w:rPr>
      </w:pPr>
      <w:r>
        <w:rPr>
          <w:rFonts w:hint="eastAsia" w:ascii="仿宋" w:hAnsi="仿宋" w:eastAsia="仿宋"/>
        </w:rPr>
        <w:t>【供参考】</w:t>
      </w:r>
    </w:p>
    <w:p>
      <w:pPr>
        <w:spacing w:line="440" w:lineRule="exact"/>
        <w:ind w:firstLine="420" w:firstLineChars="200"/>
        <w:rPr>
          <w:rFonts w:ascii="仿宋" w:hAnsi="仿宋" w:eastAsia="仿宋"/>
        </w:rPr>
      </w:pPr>
      <w:r>
        <w:rPr>
          <w:rFonts w:hint="eastAsia" w:ascii="仿宋" w:hAnsi="仿宋" w:eastAsia="仿宋"/>
        </w:rPr>
        <w:t>为了贯彻党的全面发展教育方针和习近平总书记关于教育的系列论述指示批示精神，以及党中央、国务院关于教育工作的系列文件要求，落实立德树人根本任务（</w:t>
      </w:r>
      <w:r>
        <w:rPr>
          <w:rFonts w:hint="eastAsia" w:ascii="仿宋" w:hAnsi="仿宋" w:eastAsia="仿宋"/>
          <w:u w:val="single"/>
        </w:rPr>
        <w:t>目的</w:t>
      </w:r>
      <w:r>
        <w:rPr>
          <w:rFonts w:hint="eastAsia" w:ascii="仿宋" w:hAnsi="仿宋" w:eastAsia="仿宋"/>
        </w:rPr>
        <w:t>），学校依据国家《普通高中课程方案》（</w:t>
      </w:r>
      <w:r>
        <w:rPr>
          <w:rFonts w:hint="eastAsia" w:ascii="仿宋" w:hAnsi="仿宋" w:eastAsia="仿宋"/>
          <w:u w:val="single"/>
        </w:rPr>
        <w:t>编制依据</w:t>
      </w:r>
      <w:r>
        <w:rPr>
          <w:rFonts w:hint="eastAsia" w:ascii="仿宋" w:hAnsi="仿宋" w:eastAsia="仿宋"/>
        </w:rPr>
        <w:t>），以此指导学校结合实际进行课程建设、开展教育教学活动（</w:t>
      </w:r>
      <w:r>
        <w:rPr>
          <w:rFonts w:hint="eastAsia" w:ascii="仿宋" w:hAnsi="仿宋" w:eastAsia="仿宋"/>
          <w:u w:val="single"/>
        </w:rPr>
        <w:t>功能</w:t>
      </w:r>
      <w:r>
        <w:rPr>
          <w:rFonts w:hint="eastAsia" w:ascii="仿宋" w:hAnsi="仿宋" w:eastAsia="仿宋"/>
        </w:rPr>
        <w:t>），经过认真实施总结，形成本优秀案例。</w:t>
      </w:r>
    </w:p>
    <w:p>
      <w:pPr>
        <w:pStyle w:val="2"/>
        <w:spacing w:before="0" w:after="0" w:line="440" w:lineRule="exact"/>
        <w:rPr>
          <w:rFonts w:ascii="楷体" w:hAnsi="楷体" w:eastAsia="楷体"/>
          <w:sz w:val="30"/>
          <w:szCs w:val="30"/>
        </w:rPr>
      </w:pPr>
      <w:r>
        <w:rPr>
          <w:rFonts w:hint="eastAsia" w:ascii="楷体" w:hAnsi="楷体" w:eastAsia="楷体"/>
          <w:sz w:val="30"/>
          <w:szCs w:val="30"/>
        </w:rPr>
        <w:t>一、背景分析</w:t>
      </w:r>
    </w:p>
    <w:p>
      <w:pPr>
        <w:spacing w:line="440" w:lineRule="exact"/>
        <w:rPr>
          <w:rFonts w:ascii="仿宋" w:hAnsi="仿宋" w:eastAsia="仿宋"/>
        </w:rPr>
      </w:pPr>
      <w:r>
        <w:rPr>
          <w:rFonts w:hint="eastAsia" w:ascii="仿宋" w:hAnsi="仿宋" w:eastAsia="仿宋"/>
        </w:rPr>
        <w:t>【说明】</w:t>
      </w:r>
    </w:p>
    <w:p>
      <w:pPr>
        <w:spacing w:line="440" w:lineRule="exact"/>
        <w:ind w:firstLine="420" w:firstLineChars="200"/>
        <w:rPr>
          <w:rFonts w:ascii="仿宋" w:hAnsi="仿宋" w:eastAsia="仿宋"/>
        </w:rPr>
      </w:pPr>
      <w:r>
        <w:rPr>
          <w:rFonts w:hint="eastAsia" w:ascii="仿宋" w:hAnsi="仿宋" w:eastAsia="仿宋"/>
        </w:rPr>
        <w:t>叙写教育教学案例的背景材料，包括：</w:t>
      </w:r>
    </w:p>
    <w:p>
      <w:pPr>
        <w:pStyle w:val="12"/>
        <w:numPr>
          <w:ilvl w:val="0"/>
          <w:numId w:val="1"/>
        </w:numPr>
        <w:spacing w:line="440" w:lineRule="exact"/>
        <w:ind w:firstLineChars="0"/>
        <w:rPr>
          <w:rFonts w:ascii="仿宋" w:hAnsi="仿宋" w:eastAsia="仿宋"/>
        </w:rPr>
      </w:pPr>
      <w:r>
        <w:rPr>
          <w:rFonts w:hint="eastAsia" w:ascii="仿宋" w:hAnsi="仿宋" w:eastAsia="仿宋"/>
        </w:rPr>
        <w:t>案例基本情况；</w:t>
      </w:r>
    </w:p>
    <w:p>
      <w:pPr>
        <w:pStyle w:val="12"/>
        <w:numPr>
          <w:ilvl w:val="0"/>
          <w:numId w:val="1"/>
        </w:numPr>
        <w:spacing w:line="440" w:lineRule="exact"/>
        <w:ind w:firstLineChars="0"/>
        <w:rPr>
          <w:rFonts w:ascii="仿宋" w:hAnsi="仿宋" w:eastAsia="仿宋"/>
        </w:rPr>
      </w:pPr>
      <w:r>
        <w:rPr>
          <w:rFonts w:hint="eastAsia" w:ascii="仿宋" w:hAnsi="仿宋" w:eastAsia="仿宋"/>
        </w:rPr>
        <w:t>特色与创新点；</w:t>
      </w:r>
    </w:p>
    <w:p>
      <w:pPr>
        <w:pStyle w:val="12"/>
        <w:numPr>
          <w:ilvl w:val="0"/>
          <w:numId w:val="1"/>
        </w:numPr>
        <w:spacing w:line="440" w:lineRule="exact"/>
        <w:ind w:firstLineChars="0"/>
        <w:rPr>
          <w:rFonts w:ascii="仿宋" w:hAnsi="仿宋" w:eastAsia="仿宋"/>
        </w:rPr>
      </w:pPr>
      <w:r>
        <w:rPr>
          <w:rFonts w:hint="eastAsia" w:ascii="仿宋" w:hAnsi="仿宋" w:eastAsia="仿宋"/>
        </w:rPr>
        <w:t>未来努力方向/愿景/使命；</w:t>
      </w:r>
    </w:p>
    <w:p>
      <w:pPr>
        <w:pStyle w:val="2"/>
        <w:spacing w:before="0" w:after="0" w:line="440" w:lineRule="exact"/>
        <w:rPr>
          <w:rFonts w:ascii="楷体" w:hAnsi="楷体" w:eastAsia="楷体"/>
          <w:sz w:val="30"/>
          <w:szCs w:val="30"/>
        </w:rPr>
      </w:pPr>
      <w:r>
        <w:rPr>
          <w:rFonts w:hint="eastAsia" w:ascii="楷体" w:hAnsi="楷体" w:eastAsia="楷体"/>
          <w:sz w:val="30"/>
          <w:szCs w:val="30"/>
        </w:rPr>
        <w:t>二、案例实施</w:t>
      </w:r>
    </w:p>
    <w:p>
      <w:pPr>
        <w:spacing w:line="440" w:lineRule="exact"/>
        <w:rPr>
          <w:rFonts w:ascii="仿宋" w:hAnsi="仿宋" w:eastAsia="仿宋"/>
        </w:rPr>
      </w:pPr>
      <w:r>
        <w:rPr>
          <w:rFonts w:hint="eastAsia" w:ascii="仿宋" w:hAnsi="仿宋" w:eastAsia="仿宋"/>
        </w:rPr>
        <w:t>【说明】</w:t>
      </w:r>
    </w:p>
    <w:p>
      <w:pPr>
        <w:spacing w:line="440" w:lineRule="exact"/>
        <w:ind w:firstLine="420" w:firstLineChars="200"/>
        <w:rPr>
          <w:rFonts w:ascii="仿宋" w:hAnsi="仿宋" w:eastAsia="仿宋"/>
        </w:rPr>
      </w:pPr>
      <w:r>
        <w:rPr>
          <w:rFonts w:hint="eastAsia" w:ascii="仿宋" w:hAnsi="仿宋" w:eastAsia="仿宋"/>
        </w:rPr>
        <w:t>叙写形成案例的基本思路。必要的几块内容包含：</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选取本案例的依据</w:t>
      </w:r>
    </w:p>
    <w:p>
      <w:pPr>
        <w:snapToGrid w:val="0"/>
        <w:spacing w:line="440" w:lineRule="exact"/>
        <w:rPr>
          <w:rFonts w:ascii="仿宋" w:hAnsi="仿宋" w:eastAsia="仿宋"/>
        </w:rPr>
      </w:pPr>
      <w:r>
        <w:rPr>
          <w:rFonts w:hint="eastAsia" w:ascii="仿宋" w:hAnsi="仿宋" w:eastAsia="仿宋"/>
        </w:rPr>
        <w:t>【说明】</w:t>
      </w:r>
    </w:p>
    <w:p>
      <w:pPr>
        <w:snapToGrid w:val="0"/>
        <w:spacing w:line="440" w:lineRule="exact"/>
        <w:ind w:firstLine="420" w:firstLineChars="200"/>
        <w:rPr>
          <w:rFonts w:ascii="仿宋" w:hAnsi="仿宋" w:eastAsia="仿宋"/>
        </w:rPr>
      </w:pPr>
      <w:r>
        <w:rPr>
          <w:rFonts w:hint="eastAsia" w:ascii="仿宋" w:hAnsi="仿宋" w:eastAsia="仿宋"/>
        </w:rPr>
        <w:t>叙写学校或基地（学科）践行市区校三级联动教研和完善校本教研活动过程中，深化教学改革，打造学校或基地（学科）教育教学特色的一些做法。首先说明基于校本教研的学校制度化教学常规（如备课、上课、听评课、赛课、公开课等），其次说明学校如何通过校本教研加强探索性的教学改革或重点课题研究等。</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实施过程中出现的问题与解决问题的措施</w:t>
      </w:r>
    </w:p>
    <w:p>
      <w:pPr>
        <w:snapToGrid w:val="0"/>
        <w:spacing w:line="440" w:lineRule="exact"/>
        <w:rPr>
          <w:rFonts w:ascii="仿宋" w:hAnsi="仿宋" w:eastAsia="仿宋"/>
        </w:rPr>
      </w:pPr>
      <w:r>
        <w:rPr>
          <w:rFonts w:hint="eastAsia" w:ascii="仿宋" w:hAnsi="仿宋" w:eastAsia="仿宋"/>
        </w:rPr>
        <w:t>【说明】</w:t>
      </w:r>
    </w:p>
    <w:p>
      <w:pPr>
        <w:snapToGrid w:val="0"/>
        <w:spacing w:line="440" w:lineRule="exact"/>
        <w:ind w:firstLine="420" w:firstLineChars="200"/>
        <w:rPr>
          <w:rFonts w:ascii="仿宋" w:hAnsi="仿宋" w:eastAsia="仿宋"/>
        </w:rPr>
      </w:pPr>
      <w:r>
        <w:rPr>
          <w:rFonts w:hint="eastAsia" w:ascii="仿宋" w:hAnsi="仿宋" w:eastAsia="仿宋"/>
        </w:rPr>
        <w:t>通过调研与问卷调查的数据形成真实问题，并依据问题开展了哪些活动形成解决问题的策略与方法。突出解决教育教学过程中的真问题解决。</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课实施过程的创新点</w:t>
      </w:r>
    </w:p>
    <w:p>
      <w:pPr>
        <w:snapToGrid w:val="0"/>
        <w:spacing w:line="440" w:lineRule="exact"/>
        <w:rPr>
          <w:rFonts w:ascii="仿宋" w:hAnsi="仿宋" w:eastAsia="仿宋"/>
        </w:rPr>
      </w:pPr>
      <w:r>
        <w:rPr>
          <w:rFonts w:hint="eastAsia" w:ascii="仿宋" w:hAnsi="仿宋" w:eastAsia="仿宋"/>
        </w:rPr>
        <w:t>【说明】</w:t>
      </w:r>
    </w:p>
    <w:p>
      <w:pPr>
        <w:snapToGrid w:val="0"/>
        <w:spacing w:line="440" w:lineRule="exact"/>
        <w:ind w:firstLine="420" w:firstLineChars="200"/>
        <w:rPr>
          <w:rFonts w:ascii="仿宋" w:hAnsi="仿宋" w:eastAsia="仿宋"/>
        </w:rPr>
      </w:pPr>
      <w:r>
        <w:rPr>
          <w:rFonts w:hint="eastAsia" w:ascii="仿宋" w:hAnsi="仿宋" w:eastAsia="仿宋"/>
        </w:rPr>
        <w:t>案例实施过程中提升教育教学质量的创新点与不足。</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资源开发</w:t>
      </w:r>
    </w:p>
    <w:p>
      <w:pPr>
        <w:snapToGrid w:val="0"/>
        <w:spacing w:line="440" w:lineRule="exact"/>
        <w:rPr>
          <w:rFonts w:ascii="仿宋" w:hAnsi="仿宋" w:eastAsia="仿宋"/>
        </w:rPr>
      </w:pPr>
      <w:r>
        <w:rPr>
          <w:rFonts w:hint="eastAsia" w:ascii="仿宋" w:hAnsi="仿宋" w:eastAsia="仿宋"/>
        </w:rPr>
        <w:t>【说明】叙写与案例实施密切相关的资源开发与利用，如教具、学具、实验仪器；参考资料、阅读书籍；实验室、专业教室、场馆；社区资源、自然资源等。</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实施未解决的问题与不足（比如选课辅导、走班制、生涯规划、专题教育实施等）</w:t>
      </w:r>
    </w:p>
    <w:p>
      <w:pPr>
        <w:snapToGrid w:val="0"/>
        <w:spacing w:line="440" w:lineRule="exact"/>
        <w:rPr>
          <w:rFonts w:ascii="仿宋" w:hAnsi="仿宋" w:eastAsia="仿宋"/>
        </w:rPr>
      </w:pPr>
      <w:r>
        <w:rPr>
          <w:rFonts w:hint="eastAsia" w:ascii="仿宋" w:hAnsi="仿宋" w:eastAsia="仿宋"/>
        </w:rPr>
        <w:t>【说明】学校或基地（学科）根据自身情况补充具体安排和举措。</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案例评价</w:t>
      </w:r>
    </w:p>
    <w:p>
      <w:pPr>
        <w:snapToGrid w:val="0"/>
        <w:spacing w:line="440" w:lineRule="exact"/>
        <w:rPr>
          <w:rFonts w:ascii="仿宋" w:hAnsi="仿宋" w:eastAsia="仿宋"/>
        </w:rPr>
      </w:pPr>
      <w:r>
        <w:rPr>
          <w:rFonts w:hint="eastAsia" w:ascii="仿宋" w:hAnsi="仿宋" w:eastAsia="仿宋"/>
        </w:rPr>
        <w:t>【说明】基于数据分析的案例分析与评价，要求逻辑清晰、可操作。可选下列两种体例之一叙写，并体现“改进结果评价，强化过程评价，探索增值评价，健全综合评价”要求。</w:t>
      </w:r>
    </w:p>
    <w:p>
      <w:pPr>
        <w:snapToGrid w:val="0"/>
        <w:spacing w:line="440" w:lineRule="exact"/>
        <w:rPr>
          <w:rFonts w:ascii="仿宋" w:hAnsi="仿宋" w:eastAsia="仿宋"/>
        </w:rPr>
      </w:pPr>
      <w:r>
        <w:rPr>
          <w:rFonts w:hint="eastAsia" w:ascii="仿宋" w:hAnsi="仿宋" w:eastAsia="仿宋"/>
        </w:rPr>
        <w:t>【第一种体例】</w:t>
      </w:r>
    </w:p>
    <w:p>
      <w:pPr>
        <w:snapToGrid w:val="0"/>
        <w:spacing w:line="440" w:lineRule="exact"/>
        <w:ind w:left="420" w:leftChars="200"/>
        <w:rPr>
          <w:rFonts w:ascii="仿宋" w:hAnsi="仿宋" w:eastAsia="仿宋"/>
        </w:rPr>
      </w:pPr>
      <w:r>
        <w:rPr>
          <w:rFonts w:hint="eastAsia" w:ascii="仿宋" w:hAnsi="仿宋" w:eastAsia="仿宋"/>
        </w:rPr>
        <w:t>1．案例评价（包括评价原则、方法指标、结果使用）</w:t>
      </w:r>
    </w:p>
    <w:p>
      <w:pPr>
        <w:snapToGrid w:val="0"/>
        <w:spacing w:line="440" w:lineRule="exact"/>
        <w:ind w:left="420" w:leftChars="200"/>
        <w:rPr>
          <w:rFonts w:ascii="仿宋" w:hAnsi="仿宋" w:eastAsia="仿宋"/>
        </w:rPr>
      </w:pPr>
      <w:r>
        <w:rPr>
          <w:rFonts w:hint="eastAsia" w:ascii="仿宋" w:hAnsi="仿宋" w:eastAsia="仿宋"/>
        </w:rPr>
        <w:t>2．过程评价（包括评价原则、方法指标、结果使用）</w:t>
      </w:r>
    </w:p>
    <w:p>
      <w:pPr>
        <w:snapToGrid w:val="0"/>
        <w:spacing w:line="440" w:lineRule="exact"/>
        <w:ind w:left="420" w:leftChars="200"/>
        <w:rPr>
          <w:rFonts w:ascii="仿宋" w:hAnsi="仿宋" w:eastAsia="仿宋"/>
        </w:rPr>
      </w:pPr>
      <w:r>
        <w:rPr>
          <w:rFonts w:hint="eastAsia" w:ascii="仿宋" w:hAnsi="仿宋" w:eastAsia="仿宋"/>
        </w:rPr>
        <w:t>3．结果评价（包括评价原则、方法指标、结果使用）</w:t>
      </w:r>
    </w:p>
    <w:p>
      <w:pPr>
        <w:snapToGrid w:val="0"/>
        <w:spacing w:line="440" w:lineRule="exact"/>
        <w:rPr>
          <w:rFonts w:ascii="仿宋" w:hAnsi="仿宋" w:eastAsia="仿宋"/>
        </w:rPr>
      </w:pPr>
      <w:r>
        <w:rPr>
          <w:rFonts w:hint="eastAsia" w:ascii="仿宋" w:hAnsi="仿宋" w:eastAsia="仿宋"/>
        </w:rPr>
        <w:t>【第二种体例】</w:t>
      </w:r>
    </w:p>
    <w:p>
      <w:pPr>
        <w:snapToGrid w:val="0"/>
        <w:spacing w:line="440" w:lineRule="exact"/>
        <w:ind w:left="420" w:leftChars="200"/>
        <w:rPr>
          <w:rFonts w:ascii="仿宋" w:hAnsi="仿宋" w:eastAsia="仿宋"/>
        </w:rPr>
      </w:pPr>
      <w:r>
        <w:rPr>
          <w:rFonts w:hint="eastAsia" w:ascii="仿宋" w:hAnsi="仿宋" w:eastAsia="仿宋"/>
        </w:rPr>
        <w:t>1．评价原则（包括方案评价、过程评价、结果评价）</w:t>
      </w:r>
    </w:p>
    <w:p>
      <w:pPr>
        <w:snapToGrid w:val="0"/>
        <w:spacing w:line="440" w:lineRule="exact"/>
        <w:ind w:left="420" w:leftChars="200"/>
        <w:rPr>
          <w:rFonts w:ascii="仿宋" w:hAnsi="仿宋" w:eastAsia="仿宋"/>
        </w:rPr>
      </w:pPr>
      <w:r>
        <w:rPr>
          <w:rFonts w:hint="eastAsia" w:ascii="仿宋" w:hAnsi="仿宋" w:eastAsia="仿宋"/>
        </w:rPr>
        <w:t>2．评价方法指标（包括方案评价、过程评价、结果评价）</w:t>
      </w:r>
    </w:p>
    <w:p>
      <w:pPr>
        <w:snapToGrid w:val="0"/>
        <w:spacing w:line="440" w:lineRule="exact"/>
        <w:ind w:left="420" w:leftChars="200"/>
        <w:rPr>
          <w:rFonts w:ascii="仿宋" w:hAnsi="仿宋" w:eastAsia="仿宋"/>
        </w:rPr>
      </w:pPr>
      <w:r>
        <w:rPr>
          <w:rFonts w:hint="eastAsia" w:ascii="仿宋" w:hAnsi="仿宋" w:eastAsia="仿宋"/>
        </w:rPr>
        <w:t>3．评价结果使用（包括方案评价、过程评价、结果评价）</w:t>
      </w:r>
    </w:p>
    <w:p>
      <w:pPr>
        <w:pStyle w:val="3"/>
        <w:numPr>
          <w:ilvl w:val="0"/>
          <w:numId w:val="2"/>
        </w:numPr>
        <w:spacing w:before="0" w:after="0" w:line="440" w:lineRule="exact"/>
        <w:ind w:left="357" w:hanging="357"/>
        <w:rPr>
          <w:rFonts w:ascii="楷体" w:hAnsi="楷体" w:eastAsia="楷体"/>
          <w:sz w:val="24"/>
          <w:szCs w:val="24"/>
        </w:rPr>
      </w:pPr>
      <w:r>
        <w:rPr>
          <w:rFonts w:hint="eastAsia" w:ascii="楷体" w:hAnsi="楷体" w:eastAsia="楷体"/>
          <w:sz w:val="24"/>
          <w:szCs w:val="24"/>
        </w:rPr>
        <w:t>案例推广</w:t>
      </w:r>
    </w:p>
    <w:p>
      <w:pPr>
        <w:snapToGrid w:val="0"/>
        <w:spacing w:line="440" w:lineRule="exact"/>
        <w:rPr>
          <w:rFonts w:ascii="仿宋" w:hAnsi="仿宋" w:eastAsia="仿宋"/>
        </w:rPr>
      </w:pPr>
      <w:r>
        <w:rPr>
          <w:rFonts w:hint="eastAsia" w:ascii="仿宋" w:hAnsi="仿宋" w:eastAsia="仿宋"/>
        </w:rPr>
        <w:t>【说明】案例的适用范围，并说明推广的价值与意义。</w:t>
      </w:r>
    </w:p>
    <w:p>
      <w:pPr>
        <w:snapToGrid w:val="0"/>
        <w:spacing w:line="440" w:lineRule="exact"/>
        <w:ind w:left="420" w:leftChars="200"/>
        <w:rPr>
          <w:rFonts w:ascii="仿宋" w:hAnsi="仿宋" w:eastAsia="仿宋"/>
        </w:rPr>
      </w:pPr>
    </w:p>
    <w:p>
      <w:pPr>
        <w:snapToGrid w:val="0"/>
        <w:spacing w:line="360" w:lineRule="auto"/>
        <w:ind w:firstLine="420" w:firstLineChars="200"/>
        <w:rPr>
          <w:rFonts w:ascii="仿宋" w:hAnsi="仿宋" w:eastAsia="仿宋"/>
        </w:rPr>
      </w:pPr>
    </w:p>
    <w:p>
      <w:pP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br w:type="page"/>
      </w:r>
    </w:p>
    <w:p>
      <w:pP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附件2</w:t>
      </w:r>
    </w:p>
    <w:tbl>
      <w:tblPr>
        <w:tblStyle w:val="7"/>
        <w:tblW w:w="10230" w:type="dxa"/>
        <w:jc w:val="center"/>
        <w:tblLayout w:type="autofit"/>
        <w:tblCellMar>
          <w:top w:w="0" w:type="dxa"/>
          <w:left w:w="108" w:type="dxa"/>
          <w:bottom w:w="0" w:type="dxa"/>
          <w:right w:w="108" w:type="dxa"/>
        </w:tblCellMar>
      </w:tblPr>
      <w:tblGrid>
        <w:gridCol w:w="915"/>
        <w:gridCol w:w="2681"/>
        <w:gridCol w:w="1210"/>
        <w:gridCol w:w="1933"/>
        <w:gridCol w:w="1603"/>
        <w:gridCol w:w="1888"/>
      </w:tblGrid>
      <w:tr>
        <w:tblPrEx>
          <w:tblCellMar>
            <w:top w:w="0" w:type="dxa"/>
            <w:left w:w="108" w:type="dxa"/>
            <w:bottom w:w="0" w:type="dxa"/>
            <w:right w:w="108" w:type="dxa"/>
          </w:tblCellMar>
        </w:tblPrEx>
        <w:trPr>
          <w:trHeight w:val="1320" w:hRule="atLeast"/>
          <w:jc w:val="center"/>
        </w:trPr>
        <w:tc>
          <w:tcPr>
            <w:tcW w:w="10230" w:type="dxa"/>
            <w:gridSpan w:val="6"/>
            <w:tcBorders>
              <w:top w:val="nil"/>
              <w:bottom w:val="nil"/>
              <w:right w:val="nil"/>
            </w:tcBorders>
            <w:shd w:val="clear" w:color="auto" w:fill="auto"/>
            <w:vAlign w:val="center"/>
          </w:tcPr>
          <w:p>
            <w:pPr>
              <w:widowControl/>
              <w:jc w:val="center"/>
              <w:textAlignment w:val="center"/>
              <w:rPr>
                <w:rStyle w:val="13"/>
                <w:rFonts w:hint="default"/>
                <w:lang w:bidi="ar"/>
              </w:rPr>
            </w:pPr>
            <w:r>
              <w:rPr>
                <w:rStyle w:val="13"/>
                <w:lang w:bidi="ar"/>
              </w:rPr>
              <w:t>广州市中小学教育教学优秀典型案例征集</w:t>
            </w:r>
            <w:r>
              <w:rPr>
                <w:rStyle w:val="13"/>
                <w:rFonts w:hint="default"/>
                <w:lang w:bidi="ar"/>
              </w:rPr>
              <w:t>推荐汇总表</w:t>
            </w:r>
          </w:p>
          <w:p>
            <w:pPr>
              <w:widowControl/>
              <w:jc w:val="center"/>
              <w:textAlignment w:val="center"/>
              <w:rPr>
                <w:rFonts w:ascii="宋体" w:hAnsi="宋体" w:eastAsia="宋体" w:cs="宋体"/>
                <w:b/>
                <w:bCs/>
                <w:color w:val="000000"/>
                <w:sz w:val="36"/>
                <w:szCs w:val="36"/>
              </w:rPr>
            </w:pPr>
            <w:r>
              <w:rPr>
                <w:rStyle w:val="14"/>
                <w:rFonts w:hint="default"/>
                <w:lang w:bidi="ar"/>
              </w:rPr>
              <w:t>推荐单位：                      （公章）</w:t>
            </w:r>
          </w:p>
        </w:tc>
      </w:tr>
      <w:tr>
        <w:tblPrEx>
          <w:tblCellMar>
            <w:top w:w="0" w:type="dxa"/>
            <w:left w:w="108" w:type="dxa"/>
            <w:bottom w:w="0" w:type="dxa"/>
            <w:right w:w="108" w:type="dxa"/>
          </w:tblCellMar>
        </w:tblPrEx>
        <w:trPr>
          <w:trHeight w:val="6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案例名称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负责人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邮箱</w:t>
            </w: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bl>
    <w:p>
      <w:pP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br w:type="page"/>
      </w:r>
    </w:p>
    <w:p>
      <w:pPr>
        <w:widowControl/>
        <w:spacing w:line="560" w:lineRule="exact"/>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中小学教育教学典型案例选题指南</w:t>
      </w:r>
    </w:p>
    <w:p>
      <w:pPr>
        <w:widowControl/>
        <w:spacing w:line="56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一、育人模式创新实践案例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1.班会课案例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2.主题教育活动案例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3.智慧阅读项目活动案例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4.综合性项目式教育案例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5.心理健康教育案例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6.“五育”特色课程育人案例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 拔尖创新人才培养案例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8.家校共育案例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 学段衔接教育案例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10.其他育人模式创新实践案例</w:t>
      </w:r>
    </w:p>
    <w:p>
      <w:pPr>
        <w:widowControl/>
        <w:spacing w:line="56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二、学科课程教学范式培育与应用案例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11.学科课堂教学案例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12.阅读教育植入学科教学案例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13.学科项目式学习案例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14.学科作业设计与实施案例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15.学科活动设计与实施案例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16.教学评一体化课堂教学设计与实施案例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17.学科单元整体教学设计与实施案例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18.学科大概念教学设计与实施案例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19.信息技术赋能精准教学案例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20.其他课程教学范式培育与应用案例</w:t>
      </w:r>
    </w:p>
    <w:p>
      <w:pPr>
        <w:widowControl/>
        <w:spacing w:line="56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三、教育教学评价案例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21.学科学业评价方案与实施案例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22.学生综合素质评价改革案例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23.教师培养发展性评价案例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24.利用人工智能、大数据等现代信息技术创新评价工具、评价方式的实践案例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25.AI技术赋能“双减”及作业设计</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26.教育教学质量增值评价的探索与实践案例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27.其他教育教学评价案例</w:t>
      </w:r>
    </w:p>
    <w:p>
      <w:pPr>
        <w:widowControl/>
        <w:spacing w:line="56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四、课程教学资源建设与应用案例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28.智慧教学课程资源建设与利用案例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29.学科课程教学数字资源建设与利用案例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30.特色校本课程建设与实践案例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31.区域特色活动课程建设与实践案例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32.学校特色场馆建设与应用案例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33.“共享课堂”资源应用场景开发案例</w:t>
      </w:r>
    </w:p>
    <w:p>
      <w:pPr>
        <w:widowControl/>
        <w:spacing w:line="560" w:lineRule="exact"/>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34.其他课程教学资源建设与应用案例</w:t>
      </w:r>
    </w:p>
    <w:sectPr>
      <w:headerReference r:id="rId4" w:type="first"/>
      <w:headerReference r:id="rId3" w:type="default"/>
      <w:footerReference r:id="rId5" w:type="default"/>
      <w:footerReference r:id="rId6" w:type="even"/>
      <w:pgSz w:w="11906" w:h="16838"/>
      <w:pgMar w:top="1418" w:right="1701" w:bottom="1418"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88054"/>
      <w:docPartObj>
        <w:docPartGallery w:val="AutoText"/>
      </w:docPartObj>
    </w:sdtPr>
    <w:sdtEndPr>
      <w:rPr>
        <w:rFonts w:hint="eastAsia" w:ascii="仿宋_GB2312" w:eastAsia="仿宋_GB2312"/>
        <w:sz w:val="32"/>
        <w:szCs w:val="32"/>
      </w:rPr>
    </w:sdtEndPr>
    <w:sdtContent>
      <w:p>
        <w:pPr>
          <w:pStyle w:val="4"/>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hint="eastAsia" w:ascii="仿宋_GB2312" w:eastAsia="仿宋_GB2312"/>
            <w:sz w:val="32"/>
            <w:szCs w:val="32"/>
            <w:lang w:val="zh-CN"/>
          </w:rPr>
          <w:t>2</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597378"/>
      <w:docPartObj>
        <w:docPartGallery w:val="AutoText"/>
      </w:docPartObj>
    </w:sdtPr>
    <w:sdtEndPr>
      <w:rPr>
        <w:rFonts w:hint="eastAsia" w:ascii="仿宋_GB2312" w:eastAsia="仿宋_GB2312"/>
        <w:sz w:val="32"/>
        <w:szCs w:val="32"/>
      </w:rPr>
    </w:sdtEndPr>
    <w:sdtContent>
      <w:p>
        <w:pPr>
          <w:pStyle w:val="4"/>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hint="eastAsia" w:ascii="仿宋_GB2312" w:eastAsia="仿宋_GB2312"/>
            <w:sz w:val="32"/>
            <w:szCs w:val="32"/>
            <w:lang w:val="zh-CN"/>
          </w:rPr>
          <w:t>2</w:t>
        </w:r>
        <w:r>
          <w:rPr>
            <w:rFonts w:hint="eastAsia" w:ascii="仿宋_GB2312" w:eastAsia="仿宋_GB2312"/>
            <w:sz w:val="32"/>
            <w:szCs w:val="3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5001D"/>
    <w:multiLevelType w:val="multilevel"/>
    <w:tmpl w:val="0755001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6400FEC"/>
    <w:multiLevelType w:val="multilevel"/>
    <w:tmpl w:val="26400FEC"/>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WI5MDRlZDRmYjgyODA3ZDJkNjkwNjc4YTg5ZTIifQ=="/>
  </w:docVars>
  <w:rsids>
    <w:rsidRoot w:val="3DF37D11"/>
    <w:rsid w:val="00111E40"/>
    <w:rsid w:val="00176CC9"/>
    <w:rsid w:val="00191196"/>
    <w:rsid w:val="001F02F4"/>
    <w:rsid w:val="00235ABC"/>
    <w:rsid w:val="0029407C"/>
    <w:rsid w:val="00326E35"/>
    <w:rsid w:val="003A5070"/>
    <w:rsid w:val="00416D6B"/>
    <w:rsid w:val="004B5DC2"/>
    <w:rsid w:val="006871A3"/>
    <w:rsid w:val="008217C8"/>
    <w:rsid w:val="00872C0F"/>
    <w:rsid w:val="008D6714"/>
    <w:rsid w:val="00A44AA7"/>
    <w:rsid w:val="00AE3358"/>
    <w:rsid w:val="00B76FB7"/>
    <w:rsid w:val="00BD49C8"/>
    <w:rsid w:val="00BD51FF"/>
    <w:rsid w:val="00CA580F"/>
    <w:rsid w:val="00CC7D4C"/>
    <w:rsid w:val="00CD1D7C"/>
    <w:rsid w:val="00D305DE"/>
    <w:rsid w:val="00E45AC9"/>
    <w:rsid w:val="00E478E0"/>
    <w:rsid w:val="00E669C7"/>
    <w:rsid w:val="00E81485"/>
    <w:rsid w:val="00E94054"/>
    <w:rsid w:val="00F65196"/>
    <w:rsid w:val="00FF03A1"/>
    <w:rsid w:val="04B44DF7"/>
    <w:rsid w:val="085E7A64"/>
    <w:rsid w:val="141A2C81"/>
    <w:rsid w:val="15BD5064"/>
    <w:rsid w:val="1A1C6107"/>
    <w:rsid w:val="1C4630FF"/>
    <w:rsid w:val="1D61027E"/>
    <w:rsid w:val="1DF04C80"/>
    <w:rsid w:val="26F94196"/>
    <w:rsid w:val="2A3C0786"/>
    <w:rsid w:val="315D327C"/>
    <w:rsid w:val="33E2226D"/>
    <w:rsid w:val="36A5317A"/>
    <w:rsid w:val="398048E2"/>
    <w:rsid w:val="3B9847F2"/>
    <w:rsid w:val="3CE15BAD"/>
    <w:rsid w:val="3D4A40EF"/>
    <w:rsid w:val="3DF37D11"/>
    <w:rsid w:val="4467242B"/>
    <w:rsid w:val="466D5994"/>
    <w:rsid w:val="4AAE5DE5"/>
    <w:rsid w:val="4ED65D8E"/>
    <w:rsid w:val="4FF30D25"/>
    <w:rsid w:val="5AF83A91"/>
    <w:rsid w:val="5BF223C2"/>
    <w:rsid w:val="5C382C5E"/>
    <w:rsid w:val="5CCA10A8"/>
    <w:rsid w:val="6A411A27"/>
    <w:rsid w:val="6BDC0A0A"/>
    <w:rsid w:val="72C50D76"/>
    <w:rsid w:val="7E12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b/>
      <w:bCs/>
      <w:color w:val="000000"/>
      <w:sz w:val="36"/>
      <w:szCs w:val="36"/>
      <w:u w:val="none"/>
    </w:rPr>
  </w:style>
  <w:style w:type="character" w:customStyle="1" w:styleId="14">
    <w:name w:val="font3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C042-B9FF-4216-9A44-58333A913D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4267</Words>
  <Characters>4395</Characters>
  <Lines>96</Lines>
  <Paragraphs>110</Paragraphs>
  <TotalTime>46</TotalTime>
  <ScaleCrop>false</ScaleCrop>
  <LinksUpToDate>false</LinksUpToDate>
  <CharactersWithSpaces>4451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2022-08-09T05:42:00Z</dcterms:created>
  <dc:creator>tina</dc:creator>
  <cp:lastModifiedBy>小鱼耔</cp:lastModifiedBy>
  <cp:lastPrinted>2022-10-19T08:07:00Z</cp:lastPrinted>
  <dcterms:modified xsi:type="dcterms:W3CDTF">2022-10-20T07:35:10Z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87ACC0DF81674077BC702FFDDD6A0B13</vt:lpwstr>
  </property>
</Properties>
</file>